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2026-08-15 och omfattar 194,4 ha.</w:t>
      </w:r>
    </w:p>
    <w:p>
      <w:pPr>
        <w:pStyle w:val="Caption"/>
      </w:pPr>
      <w:r>
        <w:drawing>
          <wp:inline xmlns:a="http://schemas.openxmlformats.org/drawingml/2006/main" xmlns:pic="http://schemas.openxmlformats.org/drawingml/2006/picture">
            <wp:extent cx="5486400" cy="4745848"/>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58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