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2026-08-15 och omfattar 280,8 ha.</w:t>
      </w:r>
    </w:p>
    <w:p>
      <w:pPr>
        <w:pStyle w:val="Caption"/>
      </w:pPr>
      <w:r>
        <w:drawing>
          <wp:inline xmlns:a="http://schemas.openxmlformats.org/drawingml/2006/main" xmlns:pic="http://schemas.openxmlformats.org/drawingml/2006/picture">
            <wp:extent cx="5486400" cy="5184039"/>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40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