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2026-07-22 och omfattar 159,7 ha.</w:t>
      </w:r>
    </w:p>
    <w:p>
      <w:pPr>
        <w:pStyle w:val="Caption"/>
      </w:pPr>
      <w:r>
        <w:drawing>
          <wp:inline xmlns:a="http://schemas.openxmlformats.org/drawingml/2006/main" xmlns:pic="http://schemas.openxmlformats.org/drawingml/2006/picture">
            <wp:extent cx="5486400" cy="4656534"/>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65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98 naturvårdsarter, varav 56 är rödlistade, 31 är fridlysta, 42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98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