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2026-07-27 och omfattar 128,0 ha.</w:t>
      </w:r>
    </w:p>
    <w:p>
      <w:pPr>
        <w:pStyle w:val="Caption"/>
      </w:pPr>
      <w:r>
        <w:drawing>
          <wp:inline xmlns:a="http://schemas.openxmlformats.org/drawingml/2006/main" xmlns:pic="http://schemas.openxmlformats.org/drawingml/2006/picture">
            <wp:extent cx="4717834"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78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