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2026-07-27 och omfattar 280,8 ha.</w:t>
      </w:r>
    </w:p>
    <w:p>
      <w:pPr>
        <w:pStyle w:val="Caption"/>
      </w:pPr>
      <w:r>
        <w:drawing>
          <wp:inline xmlns:a="http://schemas.openxmlformats.org/drawingml/2006/main" xmlns:pic="http://schemas.openxmlformats.org/drawingml/2006/picture">
            <wp:extent cx="5486400" cy="5187251"/>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72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