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2026-07-27 och omfattar 237,7 ha.</w:t>
      </w:r>
    </w:p>
    <w:p>
      <w:pPr>
        <w:pStyle w:val="Caption"/>
      </w:pPr>
      <w:r>
        <w:drawing>
          <wp:inline xmlns:a="http://schemas.openxmlformats.org/drawingml/2006/main" xmlns:pic="http://schemas.openxmlformats.org/drawingml/2006/picture">
            <wp:extent cx="5486400" cy="4578394"/>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83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