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2026-07-27 och omfattar 450,6 ha.</w:t>
      </w:r>
    </w:p>
    <w:p>
      <w:pPr>
        <w:pStyle w:val="Caption"/>
      </w:pPr>
      <w:r>
        <w:drawing>
          <wp:inline xmlns:a="http://schemas.openxmlformats.org/drawingml/2006/main" xmlns:pic="http://schemas.openxmlformats.org/drawingml/2006/picture">
            <wp:extent cx="5486400" cy="4408755"/>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0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