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2026-07-27 och omfattar 280,8 ha.</w:t>
      </w:r>
    </w:p>
    <w:p>
      <w:pPr>
        <w:pStyle w:val="Caption"/>
      </w:pPr>
      <w:r>
        <w:drawing>
          <wp:inline xmlns:a="http://schemas.openxmlformats.org/drawingml/2006/main" xmlns:pic="http://schemas.openxmlformats.org/drawingml/2006/picture">
            <wp:extent cx="5486400" cy="5187251"/>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2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