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2026-08-20 och omfattar 237,7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