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2026-07-30 och omfattar 159,7 ha.</w:t>
      </w:r>
    </w:p>
    <w:p>
      <w:pPr>
        <w:pStyle w:val="Caption"/>
      </w:pPr>
      <w:r>
        <w:drawing>
          <wp:inline xmlns:a="http://schemas.openxmlformats.org/drawingml/2006/main" xmlns:pic="http://schemas.openxmlformats.org/drawingml/2006/picture">
            <wp:extent cx="5486400" cy="4655776"/>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5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