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2026-08-10 och omfattar 280,8 ha.</w:t>
      </w:r>
    </w:p>
    <w:p>
      <w:pPr>
        <w:pStyle w:val="Caption"/>
      </w:pPr>
      <w:r>
        <w:drawing>
          <wp:inline xmlns:a="http://schemas.openxmlformats.org/drawingml/2006/main" xmlns:pic="http://schemas.openxmlformats.org/drawingml/2006/picture">
            <wp:extent cx="5486400" cy="5187251"/>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72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