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2026-09-19 och omfattar 159,7 ha.</w:t>
      </w:r>
    </w:p>
    <w:p>
      <w:pPr>
        <w:pStyle w:val="Caption"/>
      </w:pPr>
      <w:r>
        <w:drawing>
          <wp:inline xmlns:a="http://schemas.openxmlformats.org/drawingml/2006/main" xmlns:pic="http://schemas.openxmlformats.org/drawingml/2006/picture">
            <wp:extent cx="5486400" cy="4551665"/>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551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101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