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2026-09-19 och omfattar 194,4 ha.</w:t>
      </w:r>
    </w:p>
    <w:p>
      <w:pPr>
        <w:pStyle w:val="Caption"/>
      </w:pPr>
      <w:r>
        <w:drawing>
          <wp:inline xmlns:a="http://schemas.openxmlformats.org/drawingml/2006/main" xmlns:pic="http://schemas.openxmlformats.org/drawingml/2006/picture">
            <wp:extent cx="5486400" cy="4529977"/>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2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