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2026-07-21 och omfattar 237,7 ha.</w:t>
      </w:r>
    </w:p>
    <w:p>
      <w:pPr>
        <w:pStyle w:val="Caption"/>
      </w:pPr>
      <w:r>
        <w:drawing>
          <wp:inline xmlns:a="http://schemas.openxmlformats.org/drawingml/2006/main" xmlns:pic="http://schemas.openxmlformats.org/drawingml/2006/picture">
            <wp:extent cx="5486400" cy="4580977"/>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80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