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2026-08-03 och omfattar 159,7 ha.</w:t>
      </w:r>
    </w:p>
    <w:p>
      <w:pPr>
        <w:pStyle w:val="Caption"/>
      </w:pPr>
      <w:r>
        <w:drawing>
          <wp:inline xmlns:a="http://schemas.openxmlformats.org/drawingml/2006/main" xmlns:pic="http://schemas.openxmlformats.org/drawingml/2006/picture">
            <wp:extent cx="5486400" cy="4654718"/>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47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99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