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2026-08-03 och omfattar 280,8 ha.</w:t>
      </w:r>
    </w:p>
    <w:p>
      <w:pPr>
        <w:pStyle w:val="Caption"/>
      </w:pPr>
      <w:r>
        <w:drawing>
          <wp:inline xmlns:a="http://schemas.openxmlformats.org/drawingml/2006/main" xmlns:pic="http://schemas.openxmlformats.org/drawingml/2006/picture">
            <wp:extent cx="5486400" cy="5187251"/>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72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