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2026-08-19 och omfattar 280,8 ha.</w:t>
      </w:r>
    </w:p>
    <w:p>
      <w:pPr>
        <w:pStyle w:val="Caption"/>
      </w:pPr>
      <w:r>
        <w:drawing>
          <wp:inline xmlns:a="http://schemas.openxmlformats.org/drawingml/2006/main" xmlns:pic="http://schemas.openxmlformats.org/drawingml/2006/picture">
            <wp:extent cx="5486400" cy="5184039"/>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40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