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2026-09-29 och omfattar 194,4 ha.</w:t>
      </w:r>
    </w:p>
    <w:p>
      <w:pPr>
        <w:pStyle w:val="Caption"/>
      </w:pPr>
      <w:r>
        <w:drawing>
          <wp:inline xmlns:a="http://schemas.openxmlformats.org/drawingml/2006/main" xmlns:pic="http://schemas.openxmlformats.org/drawingml/2006/picture">
            <wp:extent cx="5486400" cy="4496464"/>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4964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128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