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2026-09-29 och omfattar 194,4 ha.</w:t>
      </w:r>
    </w:p>
    <w:p>
      <w:pPr>
        <w:pStyle w:val="Caption"/>
      </w:pPr>
      <w:r>
        <w:drawing>
          <wp:inline xmlns:a="http://schemas.openxmlformats.org/drawingml/2006/main" xmlns:pic="http://schemas.openxmlformats.org/drawingml/2006/picture">
            <wp:extent cx="5486400" cy="4496464"/>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4964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