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2026-07-28 och omfattar 450,6 ha.</w:t>
      </w:r>
    </w:p>
    <w:p>
      <w:pPr>
        <w:pStyle w:val="Caption"/>
      </w:pPr>
      <w:r>
        <w:drawing>
          <wp:inline xmlns:a="http://schemas.openxmlformats.org/drawingml/2006/main" xmlns:pic="http://schemas.openxmlformats.org/drawingml/2006/picture">
            <wp:extent cx="5486400" cy="4408755"/>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