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2026-10-25 och omfattar 185,8 ha.</w:t>
      </w:r>
    </w:p>
    <w:p>
      <w:pPr>
        <w:pStyle w:val="Caption"/>
      </w:pPr>
      <w:r>
        <w:drawing>
          <wp:inline xmlns:a="http://schemas.openxmlformats.org/drawingml/2006/main" xmlns:pic="http://schemas.openxmlformats.org/drawingml/2006/picture">
            <wp:extent cx="4004543"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45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109 naturvårdsarter, varav 53 är rödlistade, 66 är fridlysta, 27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stjärtmes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109 naturvårdsarter varav 53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