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2026-10-25 och omfattar 237,7 ha.</w:t>
      </w:r>
    </w:p>
    <w:p>
      <w:pPr>
        <w:pStyle w:val="Caption"/>
      </w:pPr>
      <w:r>
        <w:drawing>
          <wp:inline xmlns:a="http://schemas.openxmlformats.org/drawingml/2006/main" xmlns:pic="http://schemas.openxmlformats.org/drawingml/2006/picture">
            <wp:extent cx="5486400" cy="4236388"/>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363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74 naturvårdsarter, varav 39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Phellodon aquiloniniger (NT),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