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2026-09-04 och omfattar 159,7 ha.</w:t>
      </w:r>
    </w:p>
    <w:p>
      <w:pPr>
        <w:pStyle w:val="Caption"/>
      </w:pPr>
      <w:r>
        <w:drawing>
          <wp:inline xmlns:a="http://schemas.openxmlformats.org/drawingml/2006/main" xmlns:pic="http://schemas.openxmlformats.org/drawingml/2006/picture">
            <wp:extent cx="5486400" cy="4608142"/>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08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100 naturvårdsarter, varav 56 är rödlistade, 31 är fridlysta, 44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100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