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2026-09-04 och omfattar 194,4 ha.</w:t>
      </w:r>
    </w:p>
    <w:p>
      <w:pPr>
        <w:pStyle w:val="Caption"/>
      </w:pPr>
      <w:r>
        <w:drawing>
          <wp:inline xmlns:a="http://schemas.openxmlformats.org/drawingml/2006/main" xmlns:pic="http://schemas.openxmlformats.org/drawingml/2006/picture">
            <wp:extent cx="5486400" cy="4756395"/>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563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