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2026-08-28 och omfattar 194,4 ha.</w:t>
      </w:r>
    </w:p>
    <w:p>
      <w:pPr>
        <w:pStyle w:val="Caption"/>
      </w:pPr>
      <w:r>
        <w:drawing>
          <wp:inline xmlns:a="http://schemas.openxmlformats.org/drawingml/2006/main" xmlns:pic="http://schemas.openxmlformats.org/drawingml/2006/picture">
            <wp:extent cx="5486400" cy="4733761"/>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33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119 naturvårdsarter, varav 65 är rödlistade, 35 är fridlysta, 52 är typiska (T) och 31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