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2026-08-28 och omfattar 450,6 ha.</w:t>
      </w:r>
    </w:p>
    <w:p>
      <w:pPr>
        <w:pStyle w:val="Caption"/>
      </w:pPr>
      <w:r>
        <w:drawing>
          <wp:inline xmlns:a="http://schemas.openxmlformats.org/drawingml/2006/main" xmlns:pic="http://schemas.openxmlformats.org/drawingml/2006/picture">
            <wp:extent cx="5486400" cy="4419257"/>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192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