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2026-10-19 och omfattar 415,0 ha.</w:t>
      </w:r>
    </w:p>
    <w:p>
      <w:pPr>
        <w:pStyle w:val="Caption"/>
      </w:pPr>
      <w:r>
        <w:drawing>
          <wp:inline xmlns:a="http://schemas.openxmlformats.org/drawingml/2006/main" xmlns:pic="http://schemas.openxmlformats.org/drawingml/2006/picture">
            <wp:extent cx="4996150"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9615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159 naturvårdsarter, varav 84 är rödlistade, 42 är fridlysta, 70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svartöra (NT, 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stjärtmes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9.65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159 naturvårdsarter varav 84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