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2026-10-19 och omfattar 194,4 ha.</w:t>
      </w:r>
    </w:p>
    <w:p>
      <w:pPr>
        <w:pStyle w:val="Caption"/>
      </w:pPr>
      <w:r>
        <w:drawing>
          <wp:inline xmlns:a="http://schemas.openxmlformats.org/drawingml/2006/main" xmlns:pic="http://schemas.openxmlformats.org/drawingml/2006/picture">
            <wp:extent cx="5486400" cy="4349646"/>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496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132 naturvårdsarter, varav 68 är rödlistade, 42 är fridlysta, 58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Porodaedalea chrysoloma (DD),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ekbräken (T), hultbräken (T),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flagellkvastmossa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blåsippa (T, §9), ekbräken (T), hultbräken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