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Skäggsmoskogens naturreservat i Haninge kommun</w:t>
      </w:r>
    </w:p>
    <w:p>
      <w:r>
        <w:t>Denna tillsynsbegäran behandlar höga naturvärden i avverkningsanmälan Skäggsmoskogens naturreservat i Haninge kommun som inkom 2026-10-19 och omfattar 185,8 ha.</w:t>
      </w:r>
    </w:p>
    <w:p>
      <w:pPr>
        <w:pStyle w:val="Caption"/>
      </w:pPr>
      <w:r>
        <w:drawing>
          <wp:inline xmlns:a="http://schemas.openxmlformats.org/drawingml/2006/main" xmlns:pic="http://schemas.openxmlformats.org/drawingml/2006/picture">
            <wp:extent cx="4004543" cy="5724000"/>
            <wp:docPr id="1" name="Picture 1"/>
            <wp:cNvGraphicFramePr>
              <a:graphicFrameLocks noChangeAspect="1"/>
            </wp:cNvGraphicFramePr>
            <a:graphic>
              <a:graphicData uri="http://schemas.openxmlformats.org/drawingml/2006/picture">
                <pic:pic>
                  <pic:nvPicPr>
                    <pic:cNvPr id="0" name="Skäggsmoskogens naturreservat karta.png"/>
                    <pic:cNvPicPr/>
                  </pic:nvPicPr>
                  <pic:blipFill>
                    <a:blip r:embed="rId16"/>
                    <a:stretch>
                      <a:fillRect/>
                    </a:stretch>
                  </pic:blipFill>
                  <pic:spPr>
                    <a:xfrm>
                      <a:off x="0" y="0"/>
                      <a:ext cx="40045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6562172, E 680581 i SWEREF 99 TM.</w:t>
      </w:r>
    </w:p>
    <w:p>
      <w:r>
        <w:t>I och inom 21 meter från avverkningsanmälan finns fynd av 109 naturvårdsarter, varav 53 är rödlistade, 66 är fridlysta, 27 är typiska (T) och 19 är signalarter (S): grusnejlika (EN), havstrut (EN, §4), kattmynta (EN, §8), skogsalm (EN), stjärtand (EN, §4), brunfläckig pärlemorfjäril (VU), gråtrut (VU, §4), grönfink (VU, §4), småfläckig sumphöna (VU, §4), stare (VU, §4), starrgräsfjäril (VU), tornseglare (VU, §4), ängsblåvinge (VU), ängssalvia (VU, §8), åkerrättika (VU), apelsinticka (NT), björktrast (NT, §4), bläsand (NT, §4), Crepis tectorum subsp. tectorum (NT), dofttaggsvamp (NT, T), drillsnäppa (NT, §4), duvhök (NT, §4), enkelbeckasin (NT, §4), entita (NT, T, §4), etternässla (NT), fjällig taggsvamp s.str. (NT), grönsångare (NT, §4), gullpudra (NT, T), gulsparv (NT, §4), järnsparv (NT, §4), kavelhirs (NT), kricka (NT, §4), mindre hackspett (NT, T, §4), mindre tåtelsmygare (NT), motaggsvamp (NT, T), nordfladdermus (NT, §4a), rynkskinn (NT, T), rödfläckigt jordfly (NT), rödvingetrast (NT, §4), rörsångare (NT, §4), silltrut (NT, §4), skogshare (NT), skrattmås (NT, §4), svart skogssnigel (NT), svartöra (NT, T), sädesärla (NT, §4), tallticka (NT, T), talltita (NT, §4), ullticka (NT, T), vinterhämpling (NT, §4), vågticka (NT), älg (NT), sotkremla (DD), björksplintborre (S), blodticka (S, T), brandticka (S), granbarkgnagare (S, T), grön sköldmossa (S, T, §8), grönpyrola (S, T), hagfingersvamp (S), kambräken (S, T), korallrot (S, T, §8), källmossor (S), rödgul trumpetsvamp (S), skogsbräsma (S), skogshakmossa (S, T), smal svampklubba (S), sotriska (S), strutbräken (S, T), stubbspretmossa (S, T), svavelriska (S), vedticka (S, T), järpe (T, §4), kärrfibbla (T), mattlummer (T, §9), spillkråka (T, §4), stjärtmes (T, §4), tallbit (T, §4), tjäder (T, §4), tofsmes (T, §4), dvärgpipistrell (§4a), fiskgjuse (§4), fiskmås (§4), gröngöling (§4), grönsiska (§4), havsörn (§4), kråka (§4), kungsfågel (§4), orre (§4), större brunfladdermus (§4a), svartvit flugsnappare (§4), sävsparv (§4), sångsvan (§4), trana (§4), trädlärka (§4), vattenfladdermus (§4a), ärtsångare (§4), åkergroda (§4a), huggorm (§6), kopparödla (§6), mindre vattensalamander (§6), vanlig groda (§6), vanlig padda (§6), vanlig snok (§6), fläcknycklar (§8), grönvit nattviol (§8), vanliga ängsnycklar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Rödfläckigt jordfly (NT)</w:t>
      </w:r>
      <w:r>
        <w:t xml:space="preserve"> hör hemma i barrblandskogar, ofta i lite öppnare skogar på sandigare torrare jordar. Den har minskat kraftigt under framförallt 2000-talet. Minskningen är av allt att döma störst i den södra halvan av utbredningsområdet men den har avtagit även längre norrut. Det storskaliga trakthyggesbruket kan sannolikt förklara huvuddelen av artens minskningar. Det främsta hotet är kalhyggesbruk och den ökade fragmenteringen av artens kvarvarande habitat leder till alltmer isolerade förekomster. Det är viktigt att äldre barrskogar med lång kontinuitet bevaras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Sotkremla (DD)</w:t>
      </w:r>
      <w:r>
        <w:t xml:space="preserve"> bildar mykorrhiza med ädellövträd i söder och björk i norr. Sällsynt art med ett fåtal spridda fynd i örtrika ädellövskogar och parker från Skåne i söder till Svealand samt från Jämtland och Medelpad med björk. Uppenbarligen en sällsynt art som hotas av skogsbruket. Kända växtplatser bör bevaras i så befintligt skick som möjligt genom att undvika drastiska skogsbruksåtgärder som slutavverkning och markberedning. Faktaunderlaget bedöms vara otillräckligt för att avgöra vilken av de olika rödlistningskategorierna som är mest trolig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entita (NT, T, §4), gullpudra (NT, T), mindre hackspett (NT, T, §4), motaggsvamp (NT, T), rynkskinn (NT, T), svartöra (NT, T), tallticka (NT, T), ullticka (NT, T), blodticka (S, T), granbarkgnagare (S, T), grön sköldmossa (S, T, §8), grönpyrola (S, T), kambräken (S, T), korallrot (S, T, §8), skogshakmossa (S, T), strutbräken (S, T), stubbspretmossa (S, T), vedticka (S, T), järpe (T, §4), kärrfibbla (T), mattlummer (T, §9), spillkråka (T, §4), stjärtmes (T, §4), tallbit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