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2026-07-20 och omfattar 159,7 ha.</w:t>
      </w:r>
    </w:p>
    <w:p>
      <w:pPr>
        <w:pStyle w:val="Caption"/>
      </w:pPr>
      <w:r>
        <w:drawing>
          <wp:inline xmlns:a="http://schemas.openxmlformats.org/drawingml/2006/main" xmlns:pic="http://schemas.openxmlformats.org/drawingml/2006/picture">
            <wp:extent cx="5486400" cy="4656534"/>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65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98 naturvårdsarter, varav 56 är rödlistade, 31 är fridlysta, 42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