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2026-07-20 och omfattar 450,6 ha.</w:t>
      </w:r>
    </w:p>
    <w:p>
      <w:pPr>
        <w:pStyle w:val="Caption"/>
      </w:pPr>
      <w:r>
        <w:drawing>
          <wp:inline xmlns:a="http://schemas.openxmlformats.org/drawingml/2006/main" xmlns:pic="http://schemas.openxmlformats.org/drawingml/2006/picture">
            <wp:extent cx="5486400" cy="4407868"/>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7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