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Grytholmens naturreservat i Haninge kommun</w:t>
      </w:r>
    </w:p>
    <w:p>
      <w:r>
        <w:t>Detta klagomål behandlar höga naturvärden i avverkningsanmälan Grytholmens naturreservat i Haninge kommun som inkom 2026-10-17 och omfattar 33,0 ha.</w:t>
      </w:r>
    </w:p>
    <w:p>
      <w:pPr>
        <w:pStyle w:val="Caption"/>
      </w:pPr>
      <w:r>
        <w:drawing>
          <wp:inline xmlns:a="http://schemas.openxmlformats.org/drawingml/2006/main" xmlns:pic="http://schemas.openxmlformats.org/drawingml/2006/picture">
            <wp:extent cx="5486400" cy="4676457"/>
            <wp:docPr id="1" name="Picture 1"/>
            <wp:cNvGraphicFramePr>
              <a:graphicFrameLocks noChangeAspect="1"/>
            </wp:cNvGraphicFramePr>
            <a:graphic>
              <a:graphicData uri="http://schemas.openxmlformats.org/drawingml/2006/picture">
                <pic:pic>
                  <pic:nvPicPr>
                    <pic:cNvPr id="0" name="Grytholmens naturreservat karta.png"/>
                    <pic:cNvPicPr/>
                  </pic:nvPicPr>
                  <pic:blipFill>
                    <a:blip r:embed="rId16"/>
                    <a:stretch>
                      <a:fillRect/>
                    </a:stretch>
                  </pic:blipFill>
                  <pic:spPr>
                    <a:xfrm>
                      <a:off x="0" y="0"/>
                      <a:ext cx="5486400" cy="467645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6543436, E 680763 i SWEREF 99 TM.</w:t>
      </w:r>
    </w:p>
    <w:p>
      <w:r>
        <w:t>I avverkningsanmälan finns fynd av 7 naturvårdsarter, varav 4 är rödlistade, 4 är fridlysta, 2 är typiska (T) och 1 är signalart (S): adam och eva (NT, §8), jungfrulin (NT), solvända (NT), sårläka (NT, T), skogsknipprot (S, T, §8), grönvit nattviol (§8) och nattviol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Sårläka (NT)</w:t>
      </w:r>
      <w:r>
        <w:t xml:space="preserve"> växer på mullrik mark i skuggiga eller halvskuggiga lövskogar och lundar men också i örtrika kalkbarrskogar. Arten ingår i en exklusiv lundflora som bara uppträder i de allra rikaste kalkbarrskogarna söder om den biologiska norrlandsgränsen. I ädellövskogar och lundar är den också knuten till områden med en mycket rik mångfald av naturvårdsarter. Enligt Riksskogstaxeringens data förefaller den ha minskat kraftigt (&gt;50%) vilket troligen kan förklaras av det storskaliga skogsbruket med kalhyggen. Sårläka är typisk art för </w:t>
      </w:r>
      <w:r>
        <w:rPr>
          <w:i/>
        </w:rPr>
        <w:t xml:space="preserve">9050 Näringsrik granskog, 9020 Nordlig ädellövskog, 9130 Näringsrik bokskog </w:t>
      </w:r>
      <w:r>
        <w:t xml:space="preserve">och </w:t>
      </w:r>
      <w:r>
        <w:rPr>
          <w:i/>
        </w:rPr>
        <w:t>9160 Näringsrik ekskog</w:t>
      </w:r>
      <w:r>
        <w:t xml:space="preserve"> samt värdväxt för den rödlistade fjärilen sårläkeplattmal (NT) (SLU Artdatabanken, 2026; Nitare &amp; Skogsstyrelsen, 2019).</w:t>
      </w:r>
    </w:p>
    <w:p>
      <w:r>
        <w:rPr>
          <w:b/>
        </w:rPr>
        <w:t>Skogsknipprot (§8)</w:t>
      </w:r>
      <w:r>
        <w:t xml:space="preserve"> är fridlyst enligt 8§ artskyddsförordningen och typisk art för </w:t>
      </w:r>
      <w:r>
        <w:rPr>
          <w:i/>
        </w:rPr>
        <w:t>9050 Näringsrik granskog</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