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2026-10-17 och omfattar 237,7 ha.</w:t>
      </w:r>
    </w:p>
    <w:p>
      <w:pPr>
        <w:pStyle w:val="Caption"/>
      </w:pPr>
      <w:r>
        <w:drawing>
          <wp:inline xmlns:a="http://schemas.openxmlformats.org/drawingml/2006/main" xmlns:pic="http://schemas.openxmlformats.org/drawingml/2006/picture">
            <wp:extent cx="5486400" cy="4248233"/>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48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