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2026-10-17 och omfattar 194,4 ha.</w:t>
      </w:r>
    </w:p>
    <w:p>
      <w:pPr>
        <w:pStyle w:val="Caption"/>
      </w:pPr>
      <w:r>
        <w:drawing>
          <wp:inline xmlns:a="http://schemas.openxmlformats.org/drawingml/2006/main" xmlns:pic="http://schemas.openxmlformats.org/drawingml/2006/picture">
            <wp:extent cx="5486400" cy="4349961"/>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