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2026-09-18 och omfattar 128,0 ha.</w:t>
      </w:r>
    </w:p>
    <w:p>
      <w:pPr>
        <w:pStyle w:val="Caption"/>
      </w:pPr>
      <w:r>
        <w:drawing>
          <wp:inline xmlns:a="http://schemas.openxmlformats.org/drawingml/2006/main" xmlns:pic="http://schemas.openxmlformats.org/drawingml/2006/picture">
            <wp:extent cx="479515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9515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