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2026-09-18 och omfattar 194,4 ha.</w:t>
      </w:r>
    </w:p>
    <w:p>
      <w:pPr>
        <w:pStyle w:val="Caption"/>
      </w:pPr>
      <w:r>
        <w:drawing>
          <wp:inline xmlns:a="http://schemas.openxmlformats.org/drawingml/2006/main" xmlns:pic="http://schemas.openxmlformats.org/drawingml/2006/picture">
            <wp:extent cx="5486400" cy="4529977"/>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2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