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2026-10-14 och omfattar 237,7 ha.</w:t>
      </w:r>
    </w:p>
    <w:p>
      <w:pPr>
        <w:pStyle w:val="Caption"/>
      </w:pPr>
      <w:r>
        <w:drawing>
          <wp:inline xmlns:a="http://schemas.openxmlformats.org/drawingml/2006/main" xmlns:pic="http://schemas.openxmlformats.org/drawingml/2006/picture">
            <wp:extent cx="5486400" cy="4270148"/>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701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