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2026-08-25 och omfattar 280,8 ha.</w:t>
      </w:r>
    </w:p>
    <w:p>
      <w:pPr>
        <w:pStyle w:val="Caption"/>
      </w:pPr>
      <w:r>
        <w:drawing>
          <wp:inline xmlns:a="http://schemas.openxmlformats.org/drawingml/2006/main" xmlns:pic="http://schemas.openxmlformats.org/drawingml/2006/picture">
            <wp:extent cx="5486400" cy="5183874"/>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38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