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2026-09-01 och omfattar 159,7 ha.</w:t>
      </w:r>
    </w:p>
    <w:p>
      <w:pPr>
        <w:pStyle w:val="Caption"/>
      </w:pPr>
      <w:r>
        <w:drawing>
          <wp:inline xmlns:a="http://schemas.openxmlformats.org/drawingml/2006/main" xmlns:pic="http://schemas.openxmlformats.org/drawingml/2006/picture">
            <wp:extent cx="5486400" cy="4615249"/>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15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100 naturvårdsarter, varav 56 är rödlistade, 31 är fridlysta, 44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fällmossa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