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2026-09-01 och omfattar 450,6 ha.</w:t>
      </w:r>
    </w:p>
    <w:p>
      <w:pPr>
        <w:pStyle w:val="Caption"/>
      </w:pPr>
      <w:r>
        <w:drawing>
          <wp:inline xmlns:a="http://schemas.openxmlformats.org/drawingml/2006/main" xmlns:pic="http://schemas.openxmlformats.org/drawingml/2006/picture">
            <wp:extent cx="5486400" cy="4419257"/>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192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