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2026-10-21 och omfattar 194,4 ha.</w:t>
      </w:r>
    </w:p>
    <w:p>
      <w:pPr>
        <w:pStyle w:val="Caption"/>
      </w:pPr>
      <w:r>
        <w:drawing>
          <wp:inline xmlns:a="http://schemas.openxmlformats.org/drawingml/2006/main" xmlns:pic="http://schemas.openxmlformats.org/drawingml/2006/picture">
            <wp:extent cx="5486400" cy="4349646"/>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3496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132 naturvårdsarter, varav 68 är rödlistade, 42 är fridlysta, 58 är typiska (T) och 33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brunlångöra (NT, §4a),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nordfladdermus (NT, §4a),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Porodaedalea chrysoloma (DD), aspvedborre (S), björksplintborre (S), blodticka (S, T), blomkålssvamp (S), blåmossa (S, T), brandticka (S), bronshjon (S, T), Dorcatoma dresdensis (S), flagellkvastmossa (S, T), fällmossa (S, T),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blåsippa (T, §9), ekbräken (T), hultbräken (T), krushättemossa (T), linnea (T), mattlummer (T, §9), nattskärra (T, §4), spillkråka (T, §4), tallört (aggregat) (T), tjäder (T, §4), tofsmes (T, §4), dvärgpipistrell (§4a), gröngöling (§4), grönsiska (§4), havsörn (§4), kungsfågel (§4), större brunfladdermus (§4a), trana (§4), trollpipistrell (§4a), törnskata (§4), vattenfladdermus (§4a),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132 naturvårdsarter varav 68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