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2026-10-21 och omfattar 237,7 ha.</w:t>
      </w:r>
    </w:p>
    <w:p>
      <w:pPr>
        <w:pStyle w:val="Caption"/>
      </w:pPr>
      <w:r>
        <w:drawing>
          <wp:inline xmlns:a="http://schemas.openxmlformats.org/drawingml/2006/main" xmlns:pic="http://schemas.openxmlformats.org/drawingml/2006/picture">
            <wp:extent cx="5486400" cy="4238324"/>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383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