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2026-10-21 och omfattar 237,7 ha.</w:t>
      </w:r>
    </w:p>
    <w:p>
      <w:pPr>
        <w:pStyle w:val="Caption"/>
      </w:pPr>
      <w:r>
        <w:drawing>
          <wp:inline xmlns:a="http://schemas.openxmlformats.org/drawingml/2006/main" xmlns:pic="http://schemas.openxmlformats.org/drawingml/2006/picture">
            <wp:extent cx="5486400" cy="4238324"/>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383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73 naturvårdsarter, varav 38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blåmossa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