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2026-07-31 och omfattar 194,4 ha.</w:t>
      </w:r>
    </w:p>
    <w:p>
      <w:pPr>
        <w:pStyle w:val="Caption"/>
      </w:pPr>
      <w:r>
        <w:drawing>
          <wp:inline xmlns:a="http://schemas.openxmlformats.org/drawingml/2006/main" xmlns:pic="http://schemas.openxmlformats.org/drawingml/2006/picture">
            <wp:extent cx="5486400" cy="4749833"/>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98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118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