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2026-07-15 och omfattar 128,0 ha.</w:t>
      </w:r>
    </w:p>
    <w:p>
      <w:pPr>
        <w:pStyle w:val="Caption"/>
      </w:pPr>
      <w:r>
        <w:drawing>
          <wp:inline xmlns:a="http://schemas.openxmlformats.org/drawingml/2006/main" xmlns:pic="http://schemas.openxmlformats.org/drawingml/2006/picture">
            <wp:extent cx="4780091"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00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