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2026-07-15 och omfattar 450,6 ha.</w:t>
      </w:r>
    </w:p>
    <w:p>
      <w:pPr>
        <w:pStyle w:val="Caption"/>
      </w:pPr>
      <w:r>
        <w:drawing>
          <wp:inline xmlns:a="http://schemas.openxmlformats.org/drawingml/2006/main" xmlns:pic="http://schemas.openxmlformats.org/drawingml/2006/picture">
            <wp:extent cx="5486400" cy="4407868"/>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07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