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2026-07-15 och omfattar 237,7 ha.</w:t>
      </w:r>
    </w:p>
    <w:p>
      <w:pPr>
        <w:pStyle w:val="Caption"/>
      </w:pPr>
      <w:r>
        <w:drawing>
          <wp:inline xmlns:a="http://schemas.openxmlformats.org/drawingml/2006/main" xmlns:pic="http://schemas.openxmlformats.org/drawingml/2006/picture">
            <wp:extent cx="5486400" cy="4580977"/>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80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