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2026-09-07 och omfattar 280,8 ha.</w:t>
      </w:r>
    </w:p>
    <w:p>
      <w:pPr>
        <w:pStyle w:val="Caption"/>
      </w:pPr>
      <w:r>
        <w:drawing>
          <wp:inline xmlns:a="http://schemas.openxmlformats.org/drawingml/2006/main" xmlns:pic="http://schemas.openxmlformats.org/drawingml/2006/picture">
            <wp:extent cx="5486400" cy="5183874"/>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38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