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2026-09-07 och omfattar 159,7 ha.</w:t>
      </w:r>
    </w:p>
    <w:p>
      <w:pPr>
        <w:pStyle w:val="Caption"/>
      </w:pPr>
      <w:r>
        <w:drawing>
          <wp:inline xmlns:a="http://schemas.openxmlformats.org/drawingml/2006/main" xmlns:pic="http://schemas.openxmlformats.org/drawingml/2006/picture">
            <wp:extent cx="5486400" cy="4593240"/>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5932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101 naturvårdsarter, varav 56 är rödlistade, 32 är fridlysta, 45 är typiska (T) och 25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tofsmes (T, §4), gröngöling (§4), havsörn (§4), trana (§4), törnskata (§4),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blåmossa (S, T), bronshjon (S, T), fällmossa (S, T), granbarkgnagare (S, T), grovticka (S, T), grön sköldmossa (S, T, §8), grönpyrola (S, T), korallrot (S, T, §8), mindre märgborre (S, T), nästlav (S, T), plattlummer (S, T, §9), rostfläck (S, T), spindelblomster (S, T, §8), stubbspretmossa (S, T), trådticka (S, T), vedticka (S,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