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2026-09-30 och omfattar 159,7 ha.</w:t>
      </w:r>
    </w:p>
    <w:p>
      <w:pPr>
        <w:pStyle w:val="Caption"/>
      </w:pPr>
      <w:r>
        <w:drawing>
          <wp:inline xmlns:a="http://schemas.openxmlformats.org/drawingml/2006/main" xmlns:pic="http://schemas.openxmlformats.org/drawingml/2006/picture">
            <wp:extent cx="5486400" cy="4386866"/>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386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110 naturvårdsarter, varav 58 är rödlistade, 38 är fridlysta, 48 är typiska (T) och 27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blodticka (S, T), blomkålssvamp (S), blåmossa (S, T), brandticka (S), bronshjon (S, T), flagellkvastmossa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krushättemossa (T), linnea (T), mattlummer (T, §9), nattskärra (T, §4), spillkråka (T, §4), tallört (aggregat) (T), tjäder (T, §4), tofsmes (T, §4), dvärgpipistrell (§4a), gröngöling (§4), havsörn (§4), större brunfladdermus (§4a), trana (§4), trollpipistrell (§4a), törnskata (§4), vattenfladdermus (§4a),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blodticka (S, T), blåmossa (S, T), bronshjon (S, T), flagellkvastmossa (S, T), fällmossa (S, T), granbarkgnagare (S, T), grovticka (S, T), grön sköldmossa (S, T, §8), grönpyrola (S, T), korallrot (S, T, §8), mindre märgborre (S, T), nästlav (S, T), plattlummer (S, T, §9), rostfläck (S, T), spindelblomster (S, T, §8), stubbspretmossa (S, T), trådticka (S, T), vedticka (S, T), krushättemossa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